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32"/>
          <w:szCs w:val="32"/>
          <w:lang w:eastAsia="sk-SK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32"/>
          <w:szCs w:val="32"/>
          <w:lang w:eastAsia="sk-SK"/>
        </w:rPr>
        <w:t>ZÁVEREČNÝ ÚČET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32"/>
          <w:szCs w:val="32"/>
          <w:lang w:eastAsia="sk-SK"/>
        </w:rPr>
        <w:t>OBCE HRIČOVSKÉ PODHRADIE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32"/>
          <w:szCs w:val="32"/>
          <w:lang w:eastAsia="sk-SK"/>
        </w:rPr>
        <w:t>ZA ROK 2014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sz w:val="32"/>
          <w:szCs w:val="32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32"/>
          <w:szCs w:val="32"/>
          <w:lang w:eastAsia="sk-SK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  <w:t>Plnenie rozpočtu k 31.12.2014: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Základným nástrojom finančného hospodárenia obce bol rozpočet obce na rok 2014.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Obec v roku 2014 zostavila rozpočet podľa ustanovenia  § 10 odsek 7) zákona č. 583/2004 Z. z. o rozpočtových pravidlách územnej samosprávy a o zmene a doplnení niektorých zákonov v znení neskorších predpisov. Bežný rozpočet obce na rok 2014 bol schválený ako vyrovnaný.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Hospodárenie obce sa riadilo podľa schváleného rozpočtu na rok 2014.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Rozpočet bol schválený obecným zastupiteľstvom dňa 13.12.2013 uznesením č. 64/2013. Rozpočet bol upravený 25.06.2014 uznesením č. 22/2014 a 04.12.2014 uznesením č. 45/2014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Rozpočet v eurách:</w:t>
      </w:r>
    </w:p>
    <w:tbl>
      <w:tblPr>
        <w:jc w:val="left"/>
        <w:tblInd w:type="dxa" w:w="25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28"/>
      </w:tblGrid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Bežné príjmy                     113984                        </w:t>
            </w:r>
          </w:p>
        </w:tc>
      </w:tr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Bežné výdavky                  121424                        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25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28"/>
      </w:tblGrid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Kapitálové príjmy                                  17027              </w:t>
            </w:r>
          </w:p>
        </w:tc>
      </w:tr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Kapitálové výdavky                              20346            </w:t>
            </w:r>
          </w:p>
        </w:tc>
      </w:tr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Schodok kapitálového rozpočtu             3319          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25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28"/>
      </w:tblGrid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Príjmové finančné operácie                      13178</w:t>
            </w:r>
          </w:p>
        </w:tc>
      </w:tr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Výdavkové finančné operácie                    2419</w:t>
            </w:r>
          </w:p>
        </w:tc>
      </w:tr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Hospodárenie z finančných operácií                 0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Sumarizácia:</w:t>
      </w:r>
    </w:p>
    <w:tbl>
      <w:tblPr>
        <w:jc w:val="left"/>
        <w:tblInd w:type="dxa" w:w="252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8928"/>
      </w:tblGrid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Príjmy                                                       144189</w:t>
            </w:r>
          </w:p>
        </w:tc>
      </w:tr>
      <w:tr>
        <w:trPr>
          <w:cantSplit w:val="false"/>
        </w:trPr>
        <w:tc>
          <w:tcPr>
            <w:tcW w:type="dxa" w:w="89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Výdavky                                                   144189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  <w:t>Rozbor plnenia príjmov za rok 2014 v eurách: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2014                     k 31.12.2014   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144 189                            143 678,51                                       99,64 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10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Bežné príjmy – daňové príjmy: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2014                    k 31.12.2014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>99855                               99552,47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99,69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Výnos  dane z príjmov FO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 predpokladanej finančnej čiastky vo výške 90 400 eur  z výnosu dane z príjmov FO boli k 31.12.2014 poukázané finančné prostriedky zo ŠR vo výške  90 389,26 eur, čo predstavuje plnenie na 99,98 % 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Daň  z nehnuteľnosti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Z rozpočtovaných 2240eur skutočný príjem k 31.12.2014 vo výške 2177,29 eur, čo je 97,20 % plnenie. Príjmy dane z pozemkov boli vo výške 836,49 eur, dane zo stavieb boli vo výške 1340,80 eur. V rozpočtovom roku 2014 bola uhradená i časť nedoplatkov z minulých rokov.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K 31.12.2014 eviduje obec pohľadávky na dani z nehnuteľnosti vo výške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sk-SK"/>
        </w:rPr>
        <w:t>63,68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eur.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 xml:space="preserve">Daň za psa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Z rozpočtovaných 330 eur bol skutočný príjem k 31.12.2014 vo výške 325 eur , čo je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98 % plnenie.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Daň za užívanie verejného priestranstva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Z rozpočtovaných 60 eur bol skutočný príjem k 31.12.2014 vo výške 4eur, čo je 7 % plnenie.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 xml:space="preserve">Poplatok za komunálny odpad a drobný stavebný odpad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 xml:space="preserve">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Z rozpočtovaných 6000 eur bol skutočný príjem k 31.12.2014 vo výške 5842,19 eur , čo je 97 % plnenie. V rozpočtovom roku 2014 bola uhradená i časť nedoplatkov z minulých rokov.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K 31.12.2014 eviduje obec pohľadávky na poplatku za komunálne odpady a drobné stavebné odpady  vo výške 1126,01 eur.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2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Daň za nevýherné hracie prístroje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 rozpočtovaných 825 eur bol skutočný príjem k 31.12.2014 vo výške 814,73 eur, čo je 93% plnenie.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Bežné príjmy – nedaňové príjmy: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2014                     k 31.12.2014   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>3027                               2570,83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84,92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Príjmy z vlastníctva majetku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 rozpočtovaných 1557 eur bol skutočný príjem k 31.12.2014 vo výške 1260,03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eur, čo je 80,92 % plnenie. Ide o príjem z prenajatých budov, priestorov, pozemkov a strojov.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4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Administratívne a iné poplatky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 rozpočtovaných 1470 eur bol skutočný príjem k 31.12.2014 vo výške 1310,80 eur, čo je 89,17 % plnenie. Tento príjem obsahuje správne poplatky,  poplatky za prevádzku materskej školy, ostatné poplatky, úroky.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Bežné príjmy – ostatné príjmy: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2014                    k 31.12.2014   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>11102                                11351,80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102,25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Obec prijala nasledovné granty, transfery a dotácie: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P.č.     Poskytovateľ dotácie                    Suma v eurách               Účel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1.        Ministerstvo financií                           2525,59                       voľby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2.        Krajský úrad životného                                                   na úsek životného prostredia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prostredia                                             34,39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3.        Obvodný úrad – krízové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riadenie                                                 26,40                 na ošetrenie materiálu CO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4.        Ministerstvo vnútra SR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        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121,11                 na hlásenie pobytu občanov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5.         Krajský školský úrad                            1302                 prevádzka MS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6.         ÚPSVaR                                                   56                 hmotná núdza  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7.        ÚPSVaR                                                6909,44                 mzdy pracovníkom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8.        Nadácia Spoločne pre región               361,02                potreby MŠ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9.        Min.dopravy, výstavby a reg.rozvoja     15,85               pozemné komunikácie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Dotácie boli účelovo viazané a boli použité v súlade s ich účelom.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3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Kapitálové príjmy: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2014                     k 31.12.2013  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>17027                                17026,88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100   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K 31.12.2014 evidujeme úhradu nákladov k projektu ,,Náučný turistický chodník Hričovský Hrad“. Dotáciu na rekonštrukciu viacúčelovej budovy Obecného úradu.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E)    Príjmové  finančné operácie: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2014                   k 31.12.2014   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>13178                          13176,53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99,99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  <w:t>Rozbor plnenia výdavkov za rok 2014 v eurách: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2014                     k 31.12.2014  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>144 189                            132 461,54                                       91,87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A)     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sk-SK"/>
        </w:rPr>
        <w:t>Bežné výdavky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2014                     k 31.12.2014     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 xml:space="preserve">121 424                             123 244,23                                         101,50  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v tom:                     v eurách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Funkčná klasifikácia                   rozpočet            skutočnosť            % čerpanie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Interné služby obce                        3123                   3075,99                   98,49   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Plánovanie, kontrola                      500                       524,06                  104,81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Odpadové hospodárstvo               7150                     6452,24                   90,24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Bezpečnosť, právo a poriadok       766                       668,28                    87,24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Služby občanom                           730                        678,37                     92,92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Kultúrne služby                               35                               0                           0  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Predškolská výchova                36940                      40557,60                 109,79    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Šport                                            920                          926,39                     84,26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Administratíva                          70070                    69730,05                    99,33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Prostredie pre život                      990                          488,45                   49,33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Miestne komunikácie                   200                          142,80                    71,40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 xml:space="preserve">Spolu                                        121424                   123244,23                101,50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1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Mzdy, platy  a ostatné osobné vyrovnania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Z rozpočtovaných  41 100 eur  bolo skutočné čerpanie k 31.12.2014 vo výške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44 647,21 eur, čo je 108,63 % čerpanie . Patria sem mzdové prostriedky pracovníkov obecného úradu, starostky obce, materskej školy 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1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Poistné a príspevky do poisťovní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Z rozpočtovaných 17 250 eur bolo skutočne čerpané k 31.12.2014 vo výške 17180,78 eur, čo je 99,59 % čerpanie. Sú tu zahrnuté odvody z miezd pracovníkov za zamestnávateľa.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1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Tovary a ďalšie služby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 rozpočtovaných  39 789 eur bolo skutočne čerpané k 31.12.2014 vo výške 37 134,33 eur, čo je  93,32 % čerpanie. Ide o prevádzkové výdavky všetkých stredísk obecného úradu, ako sú energie, materiál a služby, dopravné, rutinná a štandardná údržba, ostatné tovary a služby 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1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Bežné transfery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 rozpočtovaných 10 107 eur bolo k 31.12.2014 skutočne čerpaných  11 105,38 eur z bežných transferov, čo predstavuje 109,87 % čerpanie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       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e) Služby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 rozpočtovaných 13 178 eur bolo k 31.12.2014 skutočne čerpaných 13 176,53 eur, čo predstavuje 99,99 % čerpanie. Ide o služby spojené s realizáciou projektu „Náučný turistický chodník Hričovský hrad“.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B)     Kapitálové výdavky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2013                   k 31.12.2013   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>20 346                              5637,30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27,70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sk-SK"/>
        </w:rPr>
        <w:t xml:space="preserve">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v tom:                     v eurách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Funkčná klasifikácia                   rozpočet            skutočnosť            % čerpanie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Rekonštrukcia, modernizácia        15 150                    0                               0        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Nákup strojov, zariadení                  3828                  4277,12                 111,73     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Nákup interiérového vybavenia       1368                 1360,18                 99,42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Rekonšrukcia – prijatá dotácia na rekonštrukciu viacúčelovej budovy.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Nákup strojov, zariadení – prijatá dotácia z VÚC na prefinancovanie obstaraného majetku z projektu „Náučný turistický chodník Hričovský hrad“.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Nákup interiérového vybavenia – zakúpenie bojlera do KD, pult do priestorov OcÚ a detských záchodikov do MŠ.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C)    Výdavkové finančné operácie: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Obec k 31.12.2014 eviduje príjem priebežnej platby z Monitorovacej správy vo výške 1876,88 eur, ktoré boli použité na splatenie úveru.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trHeight w:hRule="atLeast" w:val="602"/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Rozpočet                         Skutočnosť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na rok 2014                     k 31.12.2013                                 % plnenie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>2419                                3580,01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147,99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sk-SK"/>
        </w:rPr>
        <w:t xml:space="preserve">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  <w:t>Použitie prebytku/vysporiadanie schodku hospodárenia roku 2014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Výsledok hospodárenia roku 2014 je schodok vo výške  25 246,22 eur.  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Rezervný fond za rok 2014 obec vytvárať nebude.   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  <w:t>Tvorba a použitie prostriedkov peňažných fondov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Rezervný fond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Obec vytvára rezervný fond vo výške 10 % prebytku hospodárenia príslušného rozpočtového roka. Vedie sa na samostatnom bankovom účte. O použití rezervného fondu rozhoduje obecné zastupiteľstvo.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Začiatočný stav k 01.01.2014     98,27 eur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Prírastky:                                       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z prebytku hospodárenia za rok 2014     0 eur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Úbytky:                                                         0 eur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Konečný zostatok k 31.12.2014    98,27 eur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i/>
          <w:sz w:val="24"/>
          <w:szCs w:val="24"/>
          <w:lang w:eastAsia="sk-SK"/>
        </w:rPr>
        <w:t>Poznámka: výsledok hospodárenia z roku 2014  bol schodok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Sociálny fond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Tvorbu a použitie sociálneho fondu upravuje kolektívna zmluva MŠ.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Začiatočný stav k 01.01.2014                    708,31 eur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Prírastky:                                                   </w:t>
      </w:r>
    </w:p>
    <w:p>
      <w:pPr>
        <w:pStyle w:val="style0"/>
        <w:numPr>
          <w:ilvl w:val="0"/>
          <w:numId w:val="6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povinný prídel vo výške 2 % z hrubých miezd OcÚ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sk-SK"/>
        </w:rPr>
        <w:t>118,03</w:t>
      </w:r>
      <w:r>
        <w:rPr>
          <w:rFonts w:ascii="Times New Roman" w:cs="Times New Roman" w:eastAsia="Times New Roman" w:hAnsi="Times New Roman"/>
          <w:color w:val="FF0000"/>
          <w:sz w:val="24"/>
          <w:szCs w:val="24"/>
          <w:lang w:eastAsia="sk-SK"/>
        </w:rPr>
        <w:t xml:space="preserve">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eur</w:t>
      </w:r>
    </w:p>
    <w:p>
      <w:pPr>
        <w:pStyle w:val="style0"/>
        <w:numPr>
          <w:ilvl w:val="0"/>
          <w:numId w:val="6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povinný prídel vo výške 1 % z hrubých miezd MŠ           111,25    eur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Úbytky:</w:t>
      </w:r>
    </w:p>
    <w:p>
      <w:pPr>
        <w:pStyle w:val="style0"/>
        <w:numPr>
          <w:ilvl w:val="0"/>
          <w:numId w:val="7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na  stravovanie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sk-SK"/>
        </w:rPr>
        <w:t>44,36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eur</w:t>
      </w:r>
    </w:p>
    <w:p>
      <w:pPr>
        <w:pStyle w:val="style0"/>
        <w:numPr>
          <w:ilvl w:val="0"/>
          <w:numId w:val="7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regenerácia prac.sily                         221,66 eur </w:t>
      </w:r>
    </w:p>
    <w:p>
      <w:pPr>
        <w:pStyle w:val="style0"/>
        <w:spacing w:after="0" w:before="0" w:line="100" w:lineRule="atLeast"/>
        <w:ind w:hanging="0" w:left="1080" w:right="0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Konečný zostatok k 31.12.2013                     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sk-SK"/>
        </w:rPr>
        <w:t>671,57</w:t>
      </w:r>
      <w:r>
        <w:rPr>
          <w:rFonts w:ascii="Times New Roman" w:cs="Times New Roman" w:eastAsia="Times New Roman" w:hAnsi="Times New Roman"/>
          <w:color w:val="FF0000"/>
          <w:sz w:val="24"/>
          <w:szCs w:val="24"/>
          <w:lang w:eastAsia="sk-SK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eur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  <w:t>Finančné usporiadanie vzťahov voči obci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V súlade s ustanovením § 16 ods. 2 zákona č. 583/2004 o rozpočtových pravidlách územnej samosprávy v znení neskorších zmien a doplnkov má obec finančné usporiadať svoje hospodárenie vrátane finančných vzťahov k zriadeným alebo založeným právnickým osobám, fyzickým osobám, podnikateľom a právnickým osobám, ktorým poskytli finančné prostriedky svojho rozpočtu, ďalej usporiadať finančné vzťahy k štátnemu rozpočtu a štátnym fondom.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8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 xml:space="preserve">Finančné  usporiadanie voči zriadeným právnickým osobám , t.j. príspevkovým organizáciám: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Obec Hričovské Podhradie nemá zriadenú príspevkovú organizáciu.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8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Finančné usporiadanie voči štátnemu rozpočtu: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P.č.     Poskytovateľ dotácie                    Suma v eurách               Účel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       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poskytnutá          použitá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1.        Ministerstvo financií             2525,59               2525,59        voľby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2.        Krajský úrad životného                                                     na úsek životného prostredia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prostredia                                34,39                    34,39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3.        Obvodný úrad – krízové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riadenie                                   26,40                    26,40    na ošetrenie materiálu CO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4.        Ministerstvo vnútra SR          121,11                 121,11    na hlásenie pobytu občanov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5.         Krajský školský úrad           1302                    1302         prevádzka MS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6.         ÚPSVaR                                  56                         56        hmotná núdza  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7.        ÚPSVaR                              6909,44               6909,44     uchádzači o zamestnanie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8.        Nadácia Spoločne pre región    361,02               114,60    potreby MŠ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9.        Min.dopravy, výstavby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a reg.rozvoja                             15,85                  15,85    pozemné komunikácie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Dotácia z  Nadácie Spoločne pre región vyúčtovaná v roku 2015.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8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Finančné usporiadanie vzťahov voči štátnym fondom: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Obec neuzatvorila v roku 2014 žiadnu zmluvu so štátnymi fondmi.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8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  <w:t>Dotácia ostatným fyzickým a právnickým osobám – podnikateľom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u w:val="single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Obec v roku 2014 poskytla dotáciu v súlade s VZN č. 1/2006 o poskytovaní dotácie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z rozpočtu obce.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Žiadateľ dotácie            Suma poskytnutá         Suma použitá                Rozdiel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          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v roku 2014               v roku 2014 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TJ Hričovské                           670                              670                           0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Podhradie                                                                         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 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K 31.12.2014 bola poskytnutá dotácia vyúčtovaná v súlade s VZN č. 1/2006.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  <w:t>Bilancia aktív a pasív k 31.12.2014 v eurách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AKTÍVA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Názov                                                                     Skutočnosť KZ  k 31.12.2014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Neobežný majetok spolu                                                    175 657,41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z toho: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7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dlhodobý nehmotný majetok                                      0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7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dlhodobý hmotný majetok                               114 113,37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7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dlhodobý finančný majetok                                60 944,04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Obežný majetok spolu                                                          27 868,78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z toho: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zásoby                                                                          0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pohľadávky                                                                   1163,45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finančný majetok                                                      26 705,33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Časové rozlíšenie                                                                     239,38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 xml:space="preserve">Spolu                                                                                   203 765,57 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PASÍVA</w:t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9212"/>
      </w:tblGrid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Názov                                                                      Skutočnosť KZ k 31.12.2014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Vlastné zdroje krytia majetku                                              108 762,46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z toho: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 xml:space="preserve">fondy účtovnej jednotky                                        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výsledok hospodárenia                                             -25246,22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Záväzky                                                                                 65894,91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z toho: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dlhodobé záväzky                                                      1067,12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zúčtovanie medzi sub.verejnej správy                     15396,42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krátkodobé záväzky                                                  6298,54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9"/>
              </w:numPr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bankové úvery                                                         43132,83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sk-SK"/>
              </w:rPr>
              <w:t>Časové rozlíšenie                                                                29108,20</w:t>
            </w:r>
          </w:p>
        </w:tc>
      </w:tr>
      <w:tr>
        <w:trPr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sk-SK"/>
              </w:rPr>
              <w:t>Spolu                                                                                 203 765,57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  <w:t>Prehľad o stave a vývoji dlhu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Obec k 31.12.2014 eviduje tieto krátkodobé a dlhodobé záväzky: </w:t>
      </w:r>
    </w:p>
    <w:p>
      <w:pPr>
        <w:pStyle w:val="style0"/>
        <w:numPr>
          <w:ilvl w:val="0"/>
          <w:numId w:val="9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voči inštitúciám sociálneho a zdravotného poistenia</w:t>
      </w:r>
    </w:p>
    <w:p>
      <w:pPr>
        <w:pStyle w:val="style0"/>
        <w:numPr>
          <w:ilvl w:val="0"/>
          <w:numId w:val="9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voči zamestnancom</w:t>
      </w:r>
    </w:p>
    <w:p>
      <w:pPr>
        <w:pStyle w:val="style0"/>
        <w:numPr>
          <w:ilvl w:val="0"/>
          <w:numId w:val="9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záväzky zo sociálneho fondu</w:t>
      </w:r>
    </w:p>
    <w:p>
      <w:pPr>
        <w:pStyle w:val="style0"/>
        <w:numPr>
          <w:ilvl w:val="0"/>
          <w:numId w:val="9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priame dane</w:t>
      </w:r>
    </w:p>
    <w:p>
      <w:pPr>
        <w:pStyle w:val="style0"/>
        <w:numPr>
          <w:ilvl w:val="0"/>
          <w:numId w:val="9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iné a ostatné záväzky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  <w:t>9. Municipálny úver – Eurofondy (A) č.02/2014/13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Počiatočný stav  úveru k 01.01.2014 je vo výške 33 536,31 eur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Pohyby:</w:t>
      </w:r>
    </w:p>
    <w:p>
      <w:pPr>
        <w:pStyle w:val="style24"/>
        <w:numPr>
          <w:ilvl w:val="0"/>
          <w:numId w:val="9"/>
        </w:numPr>
        <w:spacing w:after="0" w:before="0" w:line="100" w:lineRule="atLeast"/>
        <w:contextualSpacing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prírastky                                         13 176,53 eur</w:t>
      </w:r>
    </w:p>
    <w:p>
      <w:pPr>
        <w:pStyle w:val="style24"/>
        <w:numPr>
          <w:ilvl w:val="0"/>
          <w:numId w:val="9"/>
        </w:numPr>
        <w:spacing w:after="0" w:before="0" w:line="100" w:lineRule="atLeast"/>
        <w:contextualSpacing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úbytky                                              3 580,01 eur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Zostatok úveru k 31.12.2014 je vo výške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sk-SK"/>
        </w:rPr>
        <w:t>43 132,83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eur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Uznesenie č.  28 /2015 zo dňa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numPr>
          <w:ilvl w:val="0"/>
          <w:numId w:val="11"/>
        </w:numPr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Obecné zastupiteľstvo berie na vedomie rozbor rozpočtového hospodárenia obce Hričovské Podhradie za rok 2014.  Záverečný účet obce a celoročné hospodárenie schvaľuje bez výhrad.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2.   Obecné zastupiteľstvo berie na vedomie správu hlavného kontrolóra za rok 2014.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Záverečný účet obce Hričovské Podhradie za rok 2014.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V Hričovskom Podhradí     18.6. 2015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.......................................................................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</w:t>
      </w:r>
      <w:r>
        <w:rPr>
          <w:rFonts w:ascii="Times New Roman" w:cs="Times New Roman" w:eastAsia="Times New Roman" w:hAnsi="Times New Roman"/>
          <w:sz w:val="24"/>
          <w:szCs w:val="24"/>
          <w:lang w:eastAsia="sk-SK"/>
        </w:rPr>
        <w:t>Jarmila Dobroňová – starostka obce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8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  <w:lvl w:ilvl="1">
      <w:start w:val="1"/>
      <w:numFmt w:val="lowerLetter"/>
      <w:lvlText w:val="%2)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3">
    <w:lvl w:ilvl="0">
      <w:start w:val="2"/>
      <w:numFmt w:val="upperLetter"/>
      <w:lvlText w:val="%1)"/>
      <w:lvlJc w:val="left"/>
      <w:pPr>
        <w:tabs>
          <w:tab w:pos="600" w:val="num"/>
        </w:tabs>
        <w:ind w:hanging="420" w:left="60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pos="720" w:val="num"/>
        </w:tabs>
        <w:ind w:hanging="360" w:left="720"/>
      </w:pPr>
    </w:lvl>
    <w:lvl w:ilvl="1">
      <w:start w:val="7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5">
    <w:lvl w:ilvl="0">
      <w:start w:val="5"/>
      <w:numFmt w:val="bullet"/>
      <w:lvlText w:val="-"/>
      <w:lvlJc w:val="left"/>
      <w:pPr>
        <w:tabs>
          <w:tab w:pos="360" w:val="num"/>
        </w:tabs>
        <w:ind w:hanging="360" w:left="36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5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1800" w:val="num"/>
        </w:tabs>
        <w:ind w:hanging="360" w:left="180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240" w:val="num"/>
        </w:tabs>
        <w:ind w:hanging="360" w:left="324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3960" w:val="num"/>
        </w:tabs>
        <w:ind w:hanging="360" w:left="39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4680" w:val="num"/>
        </w:tabs>
        <w:ind w:hanging="360" w:left="468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400" w:val="num"/>
        </w:tabs>
        <w:ind w:hanging="360" w:left="540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120" w:val="num"/>
        </w:tabs>
        <w:ind w:hanging="360" w:left="6120"/>
      </w:pPr>
      <w:rPr>
        <w:rFonts w:ascii="Wingdings" w:cs="Wingdings" w:hAnsi="Wingdings" w:hint="default"/>
      </w:rPr>
    </w:lvl>
  </w:abstractNum>
  <w:abstractNum w:abstractNumId="7">
    <w:lvl w:ilvl="0">
      <w:start w:val="5"/>
      <w:numFmt w:val="bullet"/>
      <w:lvlText w:val="-"/>
      <w:lvlJc w:val="left"/>
      <w:pPr>
        <w:tabs>
          <w:tab w:pos="1080" w:val="num"/>
        </w:tabs>
        <w:ind w:hanging="360" w:left="108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upperLetter"/>
      <w:lvlText w:val="%1)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9">
    <w:lvl w:ilvl="0">
      <w:start w:val="5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10">
    <w:lvl w:ilvl="0">
      <w:start w:val="1"/>
      <w:numFmt w:val="upperLetter"/>
      <w:lvlText w:val="%1)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Východzie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sk-SK"/>
    </w:rPr>
  </w:style>
  <w:style w:styleId="style15" w:type="character">
    <w:name w:val="Default Paragraph Font"/>
    <w:next w:val="style15"/>
    <w:rPr/>
  </w:style>
  <w:style w:styleId="style16" w:type="character">
    <w:name w:val="Text bubliny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Times New Roman" w:eastAsia="Times New Roman"/>
    </w:rPr>
  </w:style>
  <w:style w:styleId="style18" w:type="character">
    <w:name w:val="ListLabel 2"/>
    <w:next w:val="style18"/>
    <w:rPr>
      <w:rFonts w:cs="Courier New"/>
    </w:rPr>
  </w:style>
  <w:style w:styleId="style19" w:type="paragraph">
    <w:name w:val="Nadpis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Telo textu"/>
    <w:basedOn w:val="style0"/>
    <w:next w:val="style20"/>
    <w:pPr>
      <w:spacing w:after="120" w:before="0"/>
      <w:contextualSpacing w:val="false"/>
    </w:pPr>
    <w:rPr/>
  </w:style>
  <w:style w:styleId="style21" w:type="paragraph">
    <w:name w:val="Zoznam"/>
    <w:basedOn w:val="style20"/>
    <w:next w:val="style21"/>
    <w:pPr/>
    <w:rPr>
      <w:rFonts w:cs="Mangal"/>
    </w:rPr>
  </w:style>
  <w:style w:styleId="style22" w:type="paragraph">
    <w:name w:val="Popis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List Paragraph"/>
    <w:basedOn w:val="style0"/>
    <w:next w:val="style24"/>
    <w:pPr>
      <w:spacing w:after="200" w:before="0"/>
      <w:ind w:hanging="0" w:left="720" w:right="0"/>
      <w:contextualSpacing/>
    </w:pPr>
    <w:rPr/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2015-05-20T05:42:00.00Z</dcterms:created>
  <dc:creator>PC2013</dc:creator>
  <cp:lastModifiedBy>PC2013</cp:lastModifiedBy>
  <cp:lastPrinted>2015-06-25T09:57:00.00Z</cp:lastPrinted>
  <dcterms:modified xsi:type="dcterms:W3CDTF">2015-06-25T09:57:00.00Z</dcterms:modified>
  <cp:revision>24</cp:revision>
</cp:coreProperties>
</file>